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B1" w:rsidRDefault="007802B1" w:rsidP="007802B1">
      <w:pPr>
        <w:pStyle w:val="Titre1"/>
        <w:spacing w:line="360" w:lineRule="auto"/>
        <w:jc w:val="center"/>
      </w:pPr>
      <w:r>
        <w:t>Développer un environnement créatif en classe pour favoriser le bien-être des élèves et des enseignants</w:t>
      </w:r>
    </w:p>
    <w:p w:rsidR="007802B1" w:rsidRDefault="007802B1" w:rsidP="00171994">
      <w:pPr>
        <w:spacing w:line="360" w:lineRule="auto"/>
        <w:jc w:val="center"/>
        <w:rPr>
          <w:b/>
        </w:rPr>
      </w:pPr>
      <w:r w:rsidRPr="007802B1">
        <w:rPr>
          <w:b/>
        </w:rPr>
        <w:t>Niluphar Ahmadi</w:t>
      </w:r>
      <w:r w:rsidR="0089433F">
        <w:rPr>
          <w:rStyle w:val="Appelnotedebasdep"/>
          <w:b/>
        </w:rPr>
        <w:footnoteReference w:id="1"/>
      </w:r>
      <w:r w:rsidRPr="007802B1">
        <w:rPr>
          <w:b/>
        </w:rPr>
        <w:t>, Laurine Peter</w:t>
      </w:r>
      <w:r w:rsidR="0089433F">
        <w:rPr>
          <w:rStyle w:val="Appelnotedebasdep"/>
          <w:b/>
        </w:rPr>
        <w:footnoteReference w:id="2"/>
      </w:r>
      <w:r w:rsidRPr="007802B1">
        <w:rPr>
          <w:b/>
        </w:rPr>
        <w:t>, Maud Besançon</w:t>
      </w:r>
      <w:r w:rsidR="0089433F">
        <w:rPr>
          <w:rStyle w:val="Appelnotedebasdep"/>
          <w:b/>
        </w:rPr>
        <w:footnoteReference w:id="3"/>
      </w:r>
    </w:p>
    <w:p w:rsidR="00343498" w:rsidRDefault="007802B1" w:rsidP="00AE307A">
      <w:pPr>
        <w:spacing w:line="360" w:lineRule="auto"/>
        <w:jc w:val="both"/>
      </w:pPr>
      <w:bookmarkStart w:id="0" w:name="_GoBack"/>
      <w:bookmarkEnd w:id="0"/>
      <w:r>
        <w:tab/>
      </w:r>
      <w:r w:rsidR="00171994">
        <w:t>La</w:t>
      </w:r>
      <w:r w:rsidR="00AE307A">
        <w:t xml:space="preserve"> notion de bien-être subjectif - </w:t>
      </w:r>
      <w:r w:rsidR="00171994">
        <w:t>définie</w:t>
      </w:r>
      <w:r w:rsidR="00AE307A">
        <w:t xml:space="preserve"> par un faible niveau d’émotions négatives, un haut niveau d’émotions positives et de satisfaction de vie (Diener, 1984) – e</w:t>
      </w:r>
      <w:r w:rsidR="00171994">
        <w:t xml:space="preserve">st rarement étudiée sous l’angle de la créativité dans la littérature (Davies, Jindal-Snape, Collier, Digbya, Haya &amp; Howea, 2013). Pourtant, la créativité – </w:t>
      </w:r>
      <w:r w:rsidR="00171994" w:rsidRPr="000E6EA2">
        <w:rPr>
          <w:rFonts w:cs="Times New Roman"/>
        </w:rPr>
        <w:t>capacité à envisager des solutions nouv</w:t>
      </w:r>
      <w:r w:rsidR="00171994">
        <w:rPr>
          <w:rFonts w:cs="Times New Roman"/>
        </w:rPr>
        <w:t>elles et adapté</w:t>
      </w:r>
      <w:r w:rsidR="00602E70">
        <w:rPr>
          <w:rFonts w:cs="Times New Roman"/>
        </w:rPr>
        <w:t>e</w:t>
      </w:r>
      <w:r w:rsidR="00171994">
        <w:rPr>
          <w:rFonts w:cs="Times New Roman"/>
        </w:rPr>
        <w:t>s à un contexte (</w:t>
      </w:r>
      <w:r w:rsidR="00171994">
        <w:t xml:space="preserve">Lubart, Mouchiroud, Tordjam &amp; Zenasni, 2015) – est considérée comme </w:t>
      </w:r>
      <w:r w:rsidR="00343498">
        <w:t>favorisant</w:t>
      </w:r>
      <w:r w:rsidR="00171994">
        <w:t xml:space="preserve"> </w:t>
      </w:r>
      <w:r w:rsidR="00343498">
        <w:t>le</w:t>
      </w:r>
      <w:r w:rsidR="00171994">
        <w:t xml:space="preserve"> bien-être personnel (Plucker, Beghetto &amp; Dow, 2004) et gagnerait à être introduite en classe. </w:t>
      </w:r>
      <w:r w:rsidR="00602E70">
        <w:t>En effet, la</w:t>
      </w:r>
      <w:r w:rsidR="00343498">
        <w:t xml:space="preserve"> créativité est soumise à l’impact de l’environnement </w:t>
      </w:r>
      <w:r w:rsidR="00602E70">
        <w:t xml:space="preserve">et, plus particulièrement, </w:t>
      </w:r>
      <w:r w:rsidR="00343498">
        <w:t xml:space="preserve">au contexte scolaire (Besançon &amp; Lubart, 2015). </w:t>
      </w:r>
    </w:p>
    <w:p w:rsidR="00E46F39" w:rsidRPr="001043F2" w:rsidRDefault="00602E70" w:rsidP="00AE307A">
      <w:pPr>
        <w:spacing w:line="360" w:lineRule="auto"/>
        <w:jc w:val="both"/>
      </w:pPr>
      <w:r>
        <w:tab/>
        <w:t xml:space="preserve">Le développement d’un environnement créatif est caractérisé par un ensemble de variables allant de facteurs structurels </w:t>
      </w:r>
      <w:r w:rsidR="00DE7428">
        <w:t>(e.g. organisation spatiale</w:t>
      </w:r>
      <w:r w:rsidR="00E46F39">
        <w:t xml:space="preserve"> et temporelle</w:t>
      </w:r>
      <w:r w:rsidR="00DE7428">
        <w:t xml:space="preserve"> </w:t>
      </w:r>
      <w:r>
        <w:t>de la classe</w:t>
      </w:r>
      <w:r w:rsidR="00DE7428">
        <w:t xml:space="preserve">) </w:t>
      </w:r>
      <w:r>
        <w:t>à des facteurs psychosociaux (</w:t>
      </w:r>
      <w:r w:rsidR="00DE7428">
        <w:t xml:space="preserve">e.g. </w:t>
      </w:r>
      <w:r w:rsidR="001043F2">
        <w:t xml:space="preserve">réactions </w:t>
      </w:r>
      <w:r>
        <w:t xml:space="preserve">de l’enseignant, </w:t>
      </w:r>
      <w:r w:rsidR="00DE7428">
        <w:t>format</w:t>
      </w:r>
      <w:r w:rsidR="001043F2">
        <w:t>s</w:t>
      </w:r>
      <w:r w:rsidR="0004500F">
        <w:t xml:space="preserve"> de cours</w:t>
      </w:r>
      <w:r w:rsidR="00DE7428">
        <w:t> ; Cropley, 2009</w:t>
      </w:r>
      <w:r>
        <w:t xml:space="preserve">). </w:t>
      </w:r>
      <w:r w:rsidR="00DE7428">
        <w:t xml:space="preserve">Notamment, la pédagogie de l’enseignant – variable psychosociale – a une influence importante sur le développement du potentiel créatif des enfants. </w:t>
      </w:r>
      <w:r w:rsidR="001043F2">
        <w:t>Plus particulièrement,</w:t>
      </w:r>
      <w:r w:rsidR="00DE7428">
        <w:t xml:space="preserve"> l’</w:t>
      </w:r>
      <w:r w:rsidR="00E46F39">
        <w:t>enseignant va influencer</w:t>
      </w:r>
      <w:r w:rsidR="001043F2">
        <w:t xml:space="preserve"> la créativité de ses </w:t>
      </w:r>
      <w:r w:rsidR="00E46F39">
        <w:t>élèves par les oppor</w:t>
      </w:r>
      <w:r w:rsidR="001043F2">
        <w:t>tunités</w:t>
      </w:r>
      <w:r w:rsidR="00E46F39">
        <w:t xml:space="preserve"> qu’</w:t>
      </w:r>
      <w:r w:rsidR="001043F2">
        <w:t xml:space="preserve">il va </w:t>
      </w:r>
      <w:r w:rsidR="0004500F">
        <w:t xml:space="preserve">leur </w:t>
      </w:r>
      <w:r w:rsidR="001043F2">
        <w:t xml:space="preserve">offrir </w:t>
      </w:r>
      <w:r w:rsidR="00E46F39">
        <w:t>(Cropley, 2009). En effet, l’enseignant, par son attitude (Cropley, 2009)</w:t>
      </w:r>
      <w:r w:rsidR="001043F2">
        <w:t xml:space="preserve"> ou encore par les moyens éducatifs ludiques qu’il va mettre en place (apprentissage par le jeu, coopération, évaluation formative) participe au développement de la créativité en classe (Cremin, </w:t>
      </w:r>
      <w:r w:rsidR="001043F2" w:rsidRPr="001043F2">
        <w:t>Burnard</w:t>
      </w:r>
      <w:r w:rsidR="001043F2">
        <w:t xml:space="preserve"> &amp; Craft</w:t>
      </w:r>
      <w:r w:rsidR="0004500F">
        <w:t>,</w:t>
      </w:r>
      <w:r w:rsidR="001043F2">
        <w:t xml:space="preserve"> 2006). </w:t>
      </w:r>
      <w:r w:rsidR="0066129E" w:rsidRPr="0097520B">
        <w:t>De plus, la formation des enseignants à des pédagogies alternatives –par exemple la pédagogie Montessori-</w:t>
      </w:r>
      <w:r w:rsidR="00707254" w:rsidRPr="0097520B">
        <w:t xml:space="preserve"> </w:t>
      </w:r>
      <w:r w:rsidR="0066129E" w:rsidRPr="0097520B">
        <w:t>permet</w:t>
      </w:r>
      <w:r w:rsidR="007C132B" w:rsidRPr="0097520B">
        <w:t>trait</w:t>
      </w:r>
      <w:r w:rsidR="0066129E" w:rsidRPr="0097520B">
        <w:t xml:space="preserve"> un développement du potentiel créatif des élèves plus élevé que dans le cadre d’une pédagogie traditionnelle (Besançon &amp; Lubart, 2008). Plus enclins à </w:t>
      </w:r>
      <w:r w:rsidR="007C132B" w:rsidRPr="0097520B">
        <w:t xml:space="preserve">échanger socialement et à résoudre des problèmes, les </w:t>
      </w:r>
      <w:r w:rsidR="001B7AF7" w:rsidRPr="0097520B">
        <w:t>enfants</w:t>
      </w:r>
      <w:r w:rsidR="007C132B" w:rsidRPr="0097520B">
        <w:t xml:space="preserve"> évoluant dans ces pédagogies non traditionnelles feraient davantage preuve de flexibilité et seraient donc plus créatifs</w:t>
      </w:r>
      <w:r w:rsidR="001B7AF7" w:rsidRPr="0097520B">
        <w:t xml:space="preserve"> que les élèves </w:t>
      </w:r>
      <w:r w:rsidR="007C132B" w:rsidRPr="0097520B">
        <w:t xml:space="preserve">d’une pédagogie </w:t>
      </w:r>
      <w:r w:rsidR="0034700E" w:rsidRPr="0097520B">
        <w:t>classique</w:t>
      </w:r>
      <w:r w:rsidR="007C132B" w:rsidRPr="0097520B">
        <w:t xml:space="preserve"> (Horwitz, 1979</w:t>
      </w:r>
      <w:r w:rsidR="00266B77" w:rsidRPr="0097520B">
        <w:t>).</w:t>
      </w:r>
    </w:p>
    <w:p w:rsidR="0034700E" w:rsidRPr="0004500F" w:rsidRDefault="001043F2" w:rsidP="001043F2">
      <w:pPr>
        <w:spacing w:line="360" w:lineRule="auto"/>
        <w:jc w:val="both"/>
      </w:pPr>
      <w:r>
        <w:t xml:space="preserve">Pour finir, cette communication a pour objectif de présenter les moyens permettant de développer un environnement créatif en classe et ses bénéfices sur le bien-être des élèves. </w:t>
      </w:r>
      <w:r w:rsidR="0004500F">
        <w:t>C</w:t>
      </w:r>
      <w:r>
        <w:t xml:space="preserve">e </w:t>
      </w:r>
      <w:r>
        <w:lastRenderedPageBreak/>
        <w:t xml:space="preserve">lien </w:t>
      </w:r>
      <w:r w:rsidR="0004500F">
        <w:t xml:space="preserve">entre l’environnement créatif et le bien-être des élèves </w:t>
      </w:r>
      <w:r>
        <w:t>sera envisagé à travers</w:t>
      </w:r>
      <w:r w:rsidRPr="0097520B">
        <w:t xml:space="preserve"> </w:t>
      </w:r>
      <w:r w:rsidR="0097520B">
        <w:t>une revue de la littérature sur</w:t>
      </w:r>
      <w:r w:rsidR="0034700E" w:rsidRPr="0097520B">
        <w:t xml:space="preserve"> l’apport des pédagogies alternatives à la fois</w:t>
      </w:r>
      <w:r w:rsidR="0097520B" w:rsidRPr="0097520B">
        <w:t xml:space="preserve"> </w:t>
      </w:r>
      <w:r w:rsidR="0004500F">
        <w:t>sur</w:t>
      </w:r>
      <w:r w:rsidR="0097520B" w:rsidRPr="0097520B">
        <w:t xml:space="preserve"> </w:t>
      </w:r>
      <w:r w:rsidR="0034700E" w:rsidRPr="0097520B">
        <w:t>le bien-être des élèves</w:t>
      </w:r>
      <w:r w:rsidR="00266B77" w:rsidRPr="0097520B">
        <w:t xml:space="preserve"> (</w:t>
      </w:r>
      <w:r w:rsidR="008E636B" w:rsidRPr="0097520B">
        <w:t>Shankland, Genolini, Riou França, Guelfi &amp; Ionescu,</w:t>
      </w:r>
      <w:r w:rsidR="001B7AF7" w:rsidRPr="0097520B">
        <w:t xml:space="preserve"> </w:t>
      </w:r>
      <w:r w:rsidR="008E636B" w:rsidRPr="0097520B">
        <w:t>2009</w:t>
      </w:r>
      <w:r w:rsidR="00266B77" w:rsidRPr="0097520B">
        <w:t>)</w:t>
      </w:r>
      <w:r w:rsidR="0034700E" w:rsidRPr="0097520B">
        <w:t xml:space="preserve">, </w:t>
      </w:r>
      <w:r w:rsidR="0004500F">
        <w:t>et</w:t>
      </w:r>
      <w:r w:rsidR="0034700E" w:rsidRPr="0097520B">
        <w:t xml:space="preserve"> dans le développement d’un contexte de classe innovant, favorisant l’autonomie des élèves ainsi que leur créativité</w:t>
      </w:r>
      <w:r w:rsidR="006B7720" w:rsidRPr="0097520B">
        <w:t xml:space="preserve"> (</w:t>
      </w:r>
      <w:r w:rsidR="00970C2F" w:rsidRPr="0097520B">
        <w:t>Lillard &amp; Else-Quest, 2006)</w:t>
      </w:r>
      <w:r w:rsidR="0004500F">
        <w:t>, sans omettre le questionnement du rôle de l’enseignant (Edwards, 2002)</w:t>
      </w:r>
      <w:r w:rsidR="0034700E" w:rsidRPr="0097520B">
        <w:t>.</w:t>
      </w:r>
    </w:p>
    <w:p w:rsidR="00171994" w:rsidRPr="0097520B" w:rsidRDefault="00171994" w:rsidP="00171994">
      <w:pPr>
        <w:spacing w:line="360" w:lineRule="auto"/>
        <w:jc w:val="both"/>
        <w:rPr>
          <w:b/>
        </w:rPr>
      </w:pPr>
      <w:r w:rsidRPr="0097520B">
        <w:rPr>
          <w:b/>
        </w:rPr>
        <w:t>Bibliographie</w:t>
      </w:r>
    </w:p>
    <w:p w:rsidR="006B7720" w:rsidRDefault="006B7720" w:rsidP="00766173">
      <w:pPr>
        <w:spacing w:line="276" w:lineRule="auto"/>
        <w:jc w:val="both"/>
        <w:rPr>
          <w:lang w:val="en-US"/>
        </w:rPr>
      </w:pPr>
      <w:r w:rsidRPr="0004500F">
        <w:rPr>
          <w:lang w:val="en-US"/>
        </w:rPr>
        <w:t xml:space="preserve">Besançon, M., &amp; Lubart, T. (2008). </w:t>
      </w:r>
      <w:r>
        <w:rPr>
          <w:lang w:val="en-US"/>
        </w:rPr>
        <w:t xml:space="preserve">Differences in the development of creative competencies in children schooled in diverse learning environments. </w:t>
      </w:r>
      <w:r w:rsidRPr="006B7720">
        <w:rPr>
          <w:i/>
          <w:lang w:val="en-US"/>
        </w:rPr>
        <w:t>Learning in Individual Differencies, 18,</w:t>
      </w:r>
      <w:r>
        <w:rPr>
          <w:lang w:val="en-US"/>
        </w:rPr>
        <w:t xml:space="preserve"> 381-389.</w:t>
      </w:r>
    </w:p>
    <w:p w:rsidR="00602E70" w:rsidRPr="0066129E" w:rsidRDefault="00602E70" w:rsidP="00766173">
      <w:pPr>
        <w:spacing w:line="276" w:lineRule="auto"/>
        <w:jc w:val="both"/>
        <w:rPr>
          <w:lang w:val="en-US"/>
        </w:rPr>
      </w:pPr>
      <w:r w:rsidRPr="0066129E">
        <w:rPr>
          <w:lang w:val="en-US"/>
        </w:rPr>
        <w:t xml:space="preserve">Cropley,  A.  J.  (2009)  </w:t>
      </w:r>
      <w:r w:rsidRPr="0066129E">
        <w:rPr>
          <w:i/>
          <w:lang w:val="en-US"/>
        </w:rPr>
        <w:t>Creativity  in  education  &amp;  learning :  a  guide  for  teachers  and  educators.</w:t>
      </w:r>
      <w:r w:rsidRPr="0066129E">
        <w:rPr>
          <w:lang w:val="en-US"/>
        </w:rPr>
        <w:t xml:space="preserve"> Abingdon: RoutledgeFalmer.</w:t>
      </w:r>
    </w:p>
    <w:p w:rsidR="001043F2" w:rsidRPr="0066129E" w:rsidRDefault="001043F2" w:rsidP="00766173">
      <w:pPr>
        <w:spacing w:line="276" w:lineRule="auto"/>
        <w:jc w:val="both"/>
        <w:rPr>
          <w:lang w:val="en-US"/>
        </w:rPr>
      </w:pPr>
      <w:r w:rsidRPr="0066129E">
        <w:rPr>
          <w:lang w:val="en-US"/>
        </w:rPr>
        <w:t xml:space="preserve">Cremin,  T.,  Burnard,  P.,  &amp;  Craft,  A.  (2006).  Pedagogy  and  possibility  thinking  in  the  early  years.  </w:t>
      </w:r>
      <w:r w:rsidRPr="0066129E">
        <w:rPr>
          <w:i/>
          <w:lang w:val="en-US"/>
        </w:rPr>
        <w:t>Thinking  Skills  &amp;  Creativity,  1(2),</w:t>
      </w:r>
      <w:r w:rsidRPr="0066129E">
        <w:rPr>
          <w:lang w:val="en-US"/>
        </w:rPr>
        <w:t xml:space="preserve">  108–119</w:t>
      </w:r>
      <w:r w:rsidR="00707254" w:rsidRPr="0066129E">
        <w:rPr>
          <w:lang w:val="en-US"/>
        </w:rPr>
        <w:t>.</w:t>
      </w:r>
    </w:p>
    <w:p w:rsidR="00707254" w:rsidRPr="0066129E" w:rsidRDefault="00707254" w:rsidP="00766173">
      <w:pPr>
        <w:spacing w:line="276" w:lineRule="auto"/>
        <w:jc w:val="both"/>
        <w:rPr>
          <w:lang w:val="en-US"/>
        </w:rPr>
      </w:pPr>
      <w:r w:rsidRPr="0066129E">
        <w:rPr>
          <w:lang w:val="en-US"/>
        </w:rPr>
        <w:t xml:space="preserve">Davies, D., Jindal-Snape, D., Collier, C., Digbya, R., Haya, P., &amp; Howea, P. (2013). Creative  learning  environments  in  education - a  systematic literature  review. </w:t>
      </w:r>
      <w:r w:rsidRPr="0066129E">
        <w:rPr>
          <w:i/>
          <w:lang w:val="en-US"/>
        </w:rPr>
        <w:t xml:space="preserve">Thinking  Skills  and  Creativity, 8, </w:t>
      </w:r>
      <w:r w:rsidRPr="0066129E">
        <w:rPr>
          <w:lang w:val="en-US"/>
        </w:rPr>
        <w:t>80-91.</w:t>
      </w:r>
    </w:p>
    <w:p w:rsidR="00602E70" w:rsidRPr="0097520B" w:rsidRDefault="00171994" w:rsidP="00766173">
      <w:pPr>
        <w:spacing w:line="276" w:lineRule="auto"/>
        <w:jc w:val="both"/>
        <w:rPr>
          <w:rFonts w:eastAsia="Times New Roman" w:cs="Times New Roman"/>
          <w:szCs w:val="24"/>
          <w:lang w:val="en-US" w:eastAsia="fr-FR"/>
        </w:rPr>
      </w:pPr>
      <w:r w:rsidRPr="00805C1D">
        <w:rPr>
          <w:rFonts w:eastAsia="Times New Roman" w:cs="Times New Roman"/>
          <w:szCs w:val="24"/>
          <w:lang w:val="en-US" w:eastAsia="fr-FR"/>
        </w:rPr>
        <w:t xml:space="preserve">Diener, E. (1984). Subjective </w:t>
      </w:r>
      <w:r w:rsidR="0004500F" w:rsidRPr="00805C1D">
        <w:rPr>
          <w:rFonts w:eastAsia="Times New Roman" w:cs="Times New Roman"/>
          <w:szCs w:val="24"/>
          <w:lang w:val="en-US" w:eastAsia="fr-FR"/>
        </w:rPr>
        <w:t>well-being</w:t>
      </w:r>
      <w:r w:rsidRPr="00805C1D">
        <w:rPr>
          <w:rFonts w:eastAsia="Times New Roman" w:cs="Times New Roman"/>
          <w:szCs w:val="24"/>
          <w:lang w:val="en-US" w:eastAsia="fr-FR"/>
        </w:rPr>
        <w:t xml:space="preserve">. </w:t>
      </w:r>
      <w:r w:rsidRPr="0097520B">
        <w:rPr>
          <w:rFonts w:eastAsia="Times New Roman" w:cs="Times New Roman"/>
          <w:i/>
          <w:iCs/>
          <w:szCs w:val="24"/>
          <w:lang w:val="en-US" w:eastAsia="fr-FR"/>
        </w:rPr>
        <w:t>Psychological Bulletin, 95</w:t>
      </w:r>
      <w:r w:rsidRPr="0097520B">
        <w:rPr>
          <w:rFonts w:eastAsia="Times New Roman" w:cs="Times New Roman"/>
          <w:i/>
          <w:szCs w:val="24"/>
          <w:lang w:val="en-US" w:eastAsia="fr-FR"/>
        </w:rPr>
        <w:t xml:space="preserve">, </w:t>
      </w:r>
      <w:r w:rsidRPr="0097520B">
        <w:rPr>
          <w:rFonts w:eastAsia="Times New Roman" w:cs="Times New Roman"/>
          <w:szCs w:val="24"/>
          <w:lang w:val="en-US" w:eastAsia="fr-FR"/>
        </w:rPr>
        <w:t>542–575.</w:t>
      </w:r>
    </w:p>
    <w:p w:rsidR="0042514F" w:rsidRPr="0042514F" w:rsidRDefault="0042514F" w:rsidP="00766173">
      <w:pPr>
        <w:spacing w:line="276" w:lineRule="auto"/>
        <w:jc w:val="both"/>
        <w:rPr>
          <w:rFonts w:eastAsia="Times New Roman" w:cs="Times New Roman"/>
          <w:szCs w:val="24"/>
          <w:lang w:val="en-US" w:eastAsia="fr-FR"/>
        </w:rPr>
      </w:pPr>
      <w:r w:rsidRPr="0042514F">
        <w:rPr>
          <w:rFonts w:eastAsia="Times New Roman" w:cs="Times New Roman"/>
          <w:szCs w:val="24"/>
          <w:lang w:val="en-US" w:eastAsia="fr-FR"/>
        </w:rPr>
        <w:t>Edwards, C. P. (2002). Three Approaches from Europe : Waldorf, Montessori, and Reg</w:t>
      </w:r>
      <w:r>
        <w:rPr>
          <w:rFonts w:eastAsia="Times New Roman" w:cs="Times New Roman"/>
          <w:szCs w:val="24"/>
          <w:lang w:val="en-US" w:eastAsia="fr-FR"/>
        </w:rPr>
        <w:t xml:space="preserve">gio Emilia. Early </w:t>
      </w:r>
      <w:r w:rsidRPr="0042514F">
        <w:rPr>
          <w:rFonts w:eastAsia="Times New Roman" w:cs="Times New Roman"/>
          <w:i/>
          <w:szCs w:val="24"/>
          <w:lang w:val="en-US" w:eastAsia="fr-FR"/>
        </w:rPr>
        <w:t>Childhood Research&amp; Practice</w:t>
      </w:r>
      <w:r>
        <w:rPr>
          <w:rFonts w:eastAsia="Times New Roman" w:cs="Times New Roman"/>
          <w:szCs w:val="24"/>
          <w:lang w:val="en-US" w:eastAsia="fr-FR"/>
        </w:rPr>
        <w:t xml:space="preserve">, </w:t>
      </w:r>
      <w:r w:rsidRPr="0042514F">
        <w:rPr>
          <w:rFonts w:eastAsia="Times New Roman" w:cs="Times New Roman"/>
          <w:i/>
          <w:szCs w:val="24"/>
          <w:lang w:val="en-US" w:eastAsia="fr-FR"/>
        </w:rPr>
        <w:t>4</w:t>
      </w:r>
      <w:r w:rsidR="004F5D6F" w:rsidRPr="004F5D6F">
        <w:rPr>
          <w:rFonts w:eastAsia="Times New Roman" w:cs="Times New Roman"/>
          <w:i/>
          <w:szCs w:val="24"/>
          <w:lang w:val="en-US" w:eastAsia="fr-FR"/>
        </w:rPr>
        <w:t>(1),</w:t>
      </w:r>
      <w:r w:rsidR="004F5D6F">
        <w:rPr>
          <w:rFonts w:eastAsia="Times New Roman" w:cs="Times New Roman"/>
          <w:szCs w:val="24"/>
          <w:lang w:val="en-US" w:eastAsia="fr-FR"/>
        </w:rPr>
        <w:t xml:space="preserve"> </w:t>
      </w:r>
      <w:r>
        <w:rPr>
          <w:rFonts w:eastAsia="Times New Roman" w:cs="Times New Roman"/>
          <w:szCs w:val="24"/>
          <w:lang w:val="en-US" w:eastAsia="fr-FR"/>
        </w:rPr>
        <w:t>2-14.</w:t>
      </w:r>
    </w:p>
    <w:p w:rsidR="006B7720" w:rsidRDefault="006B7720" w:rsidP="00766173">
      <w:pPr>
        <w:spacing w:line="276" w:lineRule="auto"/>
        <w:jc w:val="both"/>
        <w:rPr>
          <w:rFonts w:eastAsia="Times New Roman" w:cs="Times New Roman"/>
          <w:szCs w:val="24"/>
          <w:lang w:val="en-US" w:eastAsia="fr-FR"/>
        </w:rPr>
      </w:pPr>
      <w:r w:rsidRPr="006B7720">
        <w:rPr>
          <w:rFonts w:eastAsia="Times New Roman" w:cs="Times New Roman"/>
          <w:szCs w:val="24"/>
          <w:lang w:val="en-US" w:eastAsia="fr-FR"/>
        </w:rPr>
        <w:t xml:space="preserve">Horwitz, R. A. (1979). Psychological effects of the open classroom. </w:t>
      </w:r>
      <w:r w:rsidRPr="006B7720">
        <w:rPr>
          <w:rFonts w:eastAsia="Times New Roman" w:cs="Times New Roman"/>
          <w:i/>
          <w:szCs w:val="24"/>
          <w:lang w:val="en-US" w:eastAsia="fr-FR"/>
        </w:rPr>
        <w:t>Review of Educational Research, 49(1),</w:t>
      </w:r>
      <w:r w:rsidRPr="006B7720">
        <w:rPr>
          <w:rFonts w:eastAsia="Times New Roman" w:cs="Times New Roman"/>
          <w:szCs w:val="24"/>
          <w:lang w:val="en-US" w:eastAsia="fr-FR"/>
        </w:rPr>
        <w:t xml:space="preserve"> 71-85.</w:t>
      </w:r>
    </w:p>
    <w:p w:rsidR="00970C2F" w:rsidRDefault="00970C2F" w:rsidP="00766173">
      <w:pPr>
        <w:spacing w:after="0" w:line="276" w:lineRule="auto"/>
        <w:rPr>
          <w:rFonts w:eastAsia="Times New Roman" w:cs="Times New Roman"/>
          <w:szCs w:val="20"/>
          <w:lang w:eastAsia="fr-FR"/>
        </w:rPr>
      </w:pPr>
      <w:r w:rsidRPr="00D251DC">
        <w:rPr>
          <w:rFonts w:eastAsia="Times New Roman" w:cs="Times New Roman"/>
          <w:szCs w:val="20"/>
          <w:lang w:val="en-US" w:eastAsia="fr-FR"/>
        </w:rPr>
        <w:t xml:space="preserve">Lillard, A., &amp; Else-Quest, N. (2006). </w:t>
      </w:r>
      <w:r w:rsidRPr="00970C2F">
        <w:rPr>
          <w:rFonts w:eastAsia="Times New Roman" w:cs="Times New Roman"/>
          <w:szCs w:val="20"/>
          <w:lang w:val="en-US" w:eastAsia="fr-FR"/>
        </w:rPr>
        <w:t xml:space="preserve">Evaluating Montessori Education. </w:t>
      </w:r>
      <w:r w:rsidRPr="00D251DC">
        <w:rPr>
          <w:rFonts w:eastAsia="Times New Roman" w:cs="Times New Roman"/>
          <w:i/>
          <w:szCs w:val="20"/>
          <w:lang w:eastAsia="fr-FR"/>
        </w:rPr>
        <w:t>Science</w:t>
      </w:r>
      <w:r w:rsidRPr="00D251DC">
        <w:rPr>
          <w:rFonts w:eastAsia="Times New Roman" w:cs="Times New Roman"/>
          <w:szCs w:val="20"/>
          <w:lang w:eastAsia="fr-FR"/>
        </w:rPr>
        <w:t xml:space="preserve">, </w:t>
      </w:r>
      <w:r w:rsidRPr="00D251DC">
        <w:rPr>
          <w:rFonts w:eastAsia="Times New Roman" w:cs="Times New Roman"/>
          <w:i/>
          <w:szCs w:val="20"/>
          <w:lang w:eastAsia="fr-FR"/>
        </w:rPr>
        <w:t>313</w:t>
      </w:r>
      <w:r w:rsidRPr="00D251DC">
        <w:rPr>
          <w:rFonts w:eastAsia="Times New Roman" w:cs="Times New Roman"/>
          <w:szCs w:val="20"/>
          <w:lang w:eastAsia="fr-FR"/>
        </w:rPr>
        <w:t>, 1893-1894.</w:t>
      </w:r>
    </w:p>
    <w:p w:rsidR="00602E70" w:rsidRPr="006E305E" w:rsidRDefault="00171994" w:rsidP="00766173">
      <w:pPr>
        <w:spacing w:after="0" w:line="276" w:lineRule="auto"/>
        <w:rPr>
          <w:lang w:val="en-US" w:eastAsia="fr-FR"/>
        </w:rPr>
      </w:pPr>
      <w:r w:rsidRPr="00805C1D">
        <w:rPr>
          <w:lang w:eastAsia="fr-FR"/>
        </w:rPr>
        <w:t>Lubart, T., Mouchiroud, C., T</w:t>
      </w:r>
      <w:r>
        <w:rPr>
          <w:lang w:eastAsia="fr-FR"/>
        </w:rPr>
        <w:t>ordjman, S., &amp; Zenasni, F. (2015</w:t>
      </w:r>
      <w:r w:rsidRPr="00805C1D">
        <w:rPr>
          <w:lang w:eastAsia="fr-FR"/>
        </w:rPr>
        <w:t xml:space="preserve">). </w:t>
      </w:r>
      <w:r w:rsidRPr="00805C1D">
        <w:rPr>
          <w:i/>
          <w:iCs/>
          <w:lang w:eastAsia="fr-FR"/>
        </w:rPr>
        <w:t>Psychologie de la créativité</w:t>
      </w:r>
      <w:r w:rsidRPr="00805C1D">
        <w:rPr>
          <w:i/>
          <w:lang w:eastAsia="fr-FR"/>
        </w:rPr>
        <w:t>.</w:t>
      </w:r>
      <w:r w:rsidRPr="00805C1D">
        <w:rPr>
          <w:lang w:eastAsia="fr-FR"/>
        </w:rPr>
        <w:t xml:space="preserve"> </w:t>
      </w:r>
      <w:r w:rsidRPr="006E305E">
        <w:rPr>
          <w:lang w:val="en-US" w:eastAsia="fr-FR"/>
        </w:rPr>
        <w:t>Paris : Armand Colin.</w:t>
      </w:r>
    </w:p>
    <w:p w:rsidR="006D7C7F" w:rsidRDefault="00171994" w:rsidP="00766173">
      <w:pPr>
        <w:spacing w:line="276" w:lineRule="auto"/>
        <w:jc w:val="both"/>
        <w:rPr>
          <w:rFonts w:eastAsia="Times New Roman" w:cs="Times New Roman"/>
          <w:szCs w:val="24"/>
          <w:lang w:val="en-US" w:eastAsia="fr-FR"/>
        </w:rPr>
      </w:pPr>
      <w:r w:rsidRPr="00805C1D">
        <w:rPr>
          <w:rFonts w:eastAsia="Times New Roman" w:cs="Times New Roman"/>
          <w:szCs w:val="24"/>
          <w:lang w:val="en-US" w:eastAsia="fr-FR"/>
        </w:rPr>
        <w:t xml:space="preserve">Plucker, J. A., Beghetto, R. A., &amp; Dow, G. T. (2004). Why isn’t creativity more important to educational psychologists? </w:t>
      </w:r>
      <w:r w:rsidR="0004500F">
        <w:rPr>
          <w:rFonts w:eastAsia="Times New Roman" w:cs="Times New Roman"/>
          <w:szCs w:val="24"/>
          <w:lang w:val="en-US" w:eastAsia="fr-FR"/>
        </w:rPr>
        <w:t>P</w:t>
      </w:r>
      <w:r w:rsidRPr="00805C1D">
        <w:rPr>
          <w:rFonts w:eastAsia="Times New Roman" w:cs="Times New Roman"/>
          <w:szCs w:val="24"/>
          <w:lang w:val="en-US" w:eastAsia="fr-FR"/>
        </w:rPr>
        <w:t xml:space="preserve">otentials, pitfalls, and future directions in creativity research. </w:t>
      </w:r>
      <w:r w:rsidRPr="00805C1D">
        <w:rPr>
          <w:rFonts w:eastAsia="Times New Roman" w:cs="Times New Roman"/>
          <w:i/>
          <w:iCs/>
          <w:szCs w:val="24"/>
          <w:lang w:val="en-US" w:eastAsia="fr-FR"/>
        </w:rPr>
        <w:t>Educational Psychologist, 39 (2)</w:t>
      </w:r>
      <w:r w:rsidRPr="00805C1D">
        <w:rPr>
          <w:rFonts w:eastAsia="Times New Roman" w:cs="Times New Roman"/>
          <w:i/>
          <w:szCs w:val="24"/>
          <w:lang w:val="en-US" w:eastAsia="fr-FR"/>
        </w:rPr>
        <w:t>,</w:t>
      </w:r>
      <w:r w:rsidRPr="00805C1D">
        <w:rPr>
          <w:rFonts w:eastAsia="Times New Roman" w:cs="Times New Roman"/>
          <w:szCs w:val="24"/>
          <w:lang w:val="en-US" w:eastAsia="fr-FR"/>
        </w:rPr>
        <w:t xml:space="preserve"> 83</w:t>
      </w:r>
      <w:r w:rsidRPr="00805C1D">
        <w:rPr>
          <w:rFonts w:eastAsia="Times New Roman" w:cs="Times New Roman"/>
          <w:szCs w:val="24"/>
          <w:lang w:val="en-US" w:eastAsia="fr-FR"/>
        </w:rPr>
        <w:noBreakHyphen/>
        <w:t>96.</w:t>
      </w:r>
    </w:p>
    <w:p w:rsidR="006B7720" w:rsidRPr="00970C2F" w:rsidRDefault="006B7720" w:rsidP="00766173">
      <w:pPr>
        <w:spacing w:line="276" w:lineRule="auto"/>
        <w:jc w:val="both"/>
        <w:rPr>
          <w:lang w:val="en-US"/>
        </w:rPr>
      </w:pPr>
      <w:r w:rsidRPr="00970C2F">
        <w:rPr>
          <w:rFonts w:eastAsia="Times New Roman" w:cs="Times New Roman"/>
          <w:szCs w:val="24"/>
          <w:lang w:val="en-US" w:eastAsia="fr-FR"/>
        </w:rPr>
        <w:t>Shankland, R.</w:t>
      </w:r>
      <w:r w:rsidR="00970C2F" w:rsidRPr="00970C2F">
        <w:rPr>
          <w:rFonts w:eastAsia="Times New Roman" w:cs="Times New Roman"/>
          <w:szCs w:val="24"/>
          <w:lang w:val="en-US" w:eastAsia="fr-FR"/>
        </w:rPr>
        <w:t>, Genolini, C., Riou França, L., Guelfi, J. D., &amp; Ionescu, S. (2009). Studient</w:t>
      </w:r>
      <w:r w:rsidR="0004500F">
        <w:rPr>
          <w:rFonts w:eastAsia="Times New Roman" w:cs="Times New Roman"/>
          <w:szCs w:val="24"/>
          <w:lang w:val="en-US" w:eastAsia="fr-FR"/>
        </w:rPr>
        <w:t xml:space="preserve"> adjustment to higher education</w:t>
      </w:r>
      <w:r w:rsidR="00970C2F" w:rsidRPr="00970C2F">
        <w:rPr>
          <w:rFonts w:eastAsia="Times New Roman" w:cs="Times New Roman"/>
          <w:szCs w:val="24"/>
          <w:lang w:val="en-US" w:eastAsia="fr-FR"/>
        </w:rPr>
        <w:t xml:space="preserve">: the role of alternative educational pathways in coping with demands of student life. </w:t>
      </w:r>
      <w:r w:rsidR="00970C2F" w:rsidRPr="00970C2F">
        <w:rPr>
          <w:rFonts w:eastAsia="Times New Roman" w:cs="Times New Roman"/>
          <w:i/>
          <w:szCs w:val="24"/>
          <w:lang w:val="en-US" w:eastAsia="fr-FR"/>
        </w:rPr>
        <w:t>High</w:t>
      </w:r>
      <w:r w:rsidR="00970C2F">
        <w:rPr>
          <w:rFonts w:eastAsia="Times New Roman" w:cs="Times New Roman"/>
          <w:i/>
          <w:szCs w:val="24"/>
          <w:lang w:val="en-US" w:eastAsia="fr-FR"/>
        </w:rPr>
        <w:t>er</w:t>
      </w:r>
      <w:r w:rsidR="00970C2F" w:rsidRPr="00970C2F">
        <w:rPr>
          <w:rFonts w:eastAsia="Times New Roman" w:cs="Times New Roman"/>
          <w:i/>
          <w:szCs w:val="24"/>
          <w:lang w:val="en-US" w:eastAsia="fr-FR"/>
        </w:rPr>
        <w:t xml:space="preserve"> Educ, 59</w:t>
      </w:r>
      <w:r w:rsidR="00970C2F">
        <w:rPr>
          <w:rFonts w:eastAsia="Times New Roman" w:cs="Times New Roman"/>
          <w:szCs w:val="24"/>
          <w:lang w:val="en-US" w:eastAsia="fr-FR"/>
        </w:rPr>
        <w:t>, 353-366.</w:t>
      </w:r>
    </w:p>
    <w:sectPr w:rsidR="006B7720" w:rsidRPr="00970C2F" w:rsidSect="006760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DB" w:rsidRDefault="000712DB" w:rsidP="0089433F">
      <w:pPr>
        <w:spacing w:after="0" w:line="240" w:lineRule="auto"/>
      </w:pPr>
      <w:r>
        <w:separator/>
      </w:r>
    </w:p>
  </w:endnote>
  <w:endnote w:type="continuationSeparator" w:id="0">
    <w:p w:rsidR="000712DB" w:rsidRDefault="000712DB" w:rsidP="0089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066428"/>
      <w:docPartObj>
        <w:docPartGallery w:val="Page Numbers (Bottom of Page)"/>
        <w:docPartUnique/>
      </w:docPartObj>
    </w:sdtPr>
    <w:sdtEndPr/>
    <w:sdtContent>
      <w:p w:rsidR="0004500F" w:rsidRDefault="0004500F" w:rsidP="0004500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93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DB" w:rsidRDefault="000712DB" w:rsidP="0089433F">
      <w:pPr>
        <w:spacing w:after="0" w:line="240" w:lineRule="auto"/>
      </w:pPr>
      <w:r>
        <w:separator/>
      </w:r>
    </w:p>
  </w:footnote>
  <w:footnote w:type="continuationSeparator" w:id="0">
    <w:p w:rsidR="000712DB" w:rsidRDefault="000712DB" w:rsidP="0089433F">
      <w:pPr>
        <w:spacing w:after="0" w:line="240" w:lineRule="auto"/>
      </w:pPr>
      <w:r>
        <w:continuationSeparator/>
      </w:r>
    </w:p>
  </w:footnote>
  <w:footnote w:id="1">
    <w:p w:rsidR="0089433F" w:rsidRPr="0089433F" w:rsidRDefault="0089433F" w:rsidP="0089433F">
      <w:pPr>
        <w:spacing w:after="0" w:line="240" w:lineRule="auto"/>
        <w:rPr>
          <w:rFonts w:cs="Times New Roman"/>
          <w:b/>
          <w:sz w:val="22"/>
          <w:szCs w:val="24"/>
        </w:rPr>
      </w:pPr>
      <w:r>
        <w:rPr>
          <w:rStyle w:val="Appelnotedebasdep"/>
        </w:rPr>
        <w:footnoteRef/>
      </w:r>
      <w:r>
        <w:t xml:space="preserve"> </w:t>
      </w:r>
      <w:r w:rsidRPr="00202C92">
        <w:rPr>
          <w:rFonts w:cs="Times New Roman"/>
          <w:b/>
          <w:sz w:val="22"/>
          <w:szCs w:val="24"/>
        </w:rPr>
        <w:t>Doctorante en Psychologie Cognitive, Université Paris Nanterre,</w:t>
      </w:r>
      <w:r>
        <w:rPr>
          <w:rFonts w:cs="Times New Roman"/>
          <w:b/>
          <w:sz w:val="22"/>
          <w:szCs w:val="24"/>
        </w:rPr>
        <w:t xml:space="preserve"> </w:t>
      </w:r>
      <w:hyperlink r:id="rId1" w:history="1">
        <w:r w:rsidRPr="00202C92">
          <w:rPr>
            <w:rStyle w:val="Lienhypertexte"/>
            <w:rFonts w:cs="Times New Roman"/>
            <w:b/>
            <w:sz w:val="22"/>
            <w:szCs w:val="24"/>
          </w:rPr>
          <w:t>niluphar.ahmadi@hotmail.fr</w:t>
        </w:r>
      </w:hyperlink>
    </w:p>
  </w:footnote>
  <w:footnote w:id="2">
    <w:p w:rsidR="0089433F" w:rsidRDefault="0089433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9433F">
        <w:rPr>
          <w:b/>
          <w:sz w:val="22"/>
        </w:rPr>
        <w:t>Master 2 en Psychologie cognitive, Université Paris Nanterre</w:t>
      </w:r>
      <w:r>
        <w:rPr>
          <w:b/>
          <w:sz w:val="22"/>
        </w:rPr>
        <w:t xml:space="preserve">, </w:t>
      </w:r>
      <w:hyperlink r:id="rId2" w:history="1">
        <w:r w:rsidRPr="00736841">
          <w:rPr>
            <w:rStyle w:val="Lienhypertexte"/>
            <w:b/>
            <w:sz w:val="22"/>
          </w:rPr>
          <w:t>laurine.peter@gmail.com</w:t>
        </w:r>
      </w:hyperlink>
      <w:r>
        <w:rPr>
          <w:b/>
          <w:sz w:val="22"/>
        </w:rPr>
        <w:t xml:space="preserve"> </w:t>
      </w:r>
    </w:p>
  </w:footnote>
  <w:footnote w:id="3">
    <w:p w:rsidR="0089433F" w:rsidRDefault="0089433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9433F">
        <w:rPr>
          <w:b/>
        </w:rPr>
        <w:t>M</w:t>
      </w:r>
      <w:r w:rsidRPr="00202C92">
        <w:rPr>
          <w:rFonts w:cs="Times New Roman"/>
          <w:b/>
          <w:sz w:val="22"/>
          <w:szCs w:val="24"/>
        </w:rPr>
        <w:t xml:space="preserve">CF, HDR en Psychologie Différentielle, Université Paris </w:t>
      </w:r>
      <w:r>
        <w:rPr>
          <w:rFonts w:cs="Times New Roman"/>
          <w:b/>
          <w:sz w:val="22"/>
          <w:szCs w:val="24"/>
        </w:rPr>
        <w:t xml:space="preserve">Nanterre, </w:t>
      </w:r>
      <w:hyperlink r:id="rId3" w:history="1">
        <w:r w:rsidRPr="00202C92">
          <w:rPr>
            <w:rStyle w:val="Lienhypertexte"/>
            <w:rFonts w:cs="Times New Roman"/>
            <w:b/>
            <w:sz w:val="22"/>
            <w:szCs w:val="24"/>
          </w:rPr>
          <w:t>maudbesancon.psy@gmail.com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87"/>
    <w:rsid w:val="0003707D"/>
    <w:rsid w:val="0004500F"/>
    <w:rsid w:val="000712DB"/>
    <w:rsid w:val="001043F2"/>
    <w:rsid w:val="00123B62"/>
    <w:rsid w:val="00171994"/>
    <w:rsid w:val="00175115"/>
    <w:rsid w:val="001B7AF7"/>
    <w:rsid w:val="001C2068"/>
    <w:rsid w:val="00266B77"/>
    <w:rsid w:val="00282536"/>
    <w:rsid w:val="002F1AF6"/>
    <w:rsid w:val="00316D48"/>
    <w:rsid w:val="00343498"/>
    <w:rsid w:val="0034700E"/>
    <w:rsid w:val="0042514F"/>
    <w:rsid w:val="004E01D4"/>
    <w:rsid w:val="004E7934"/>
    <w:rsid w:val="004F5D6F"/>
    <w:rsid w:val="00507A2B"/>
    <w:rsid w:val="00522C87"/>
    <w:rsid w:val="0052350E"/>
    <w:rsid w:val="005A7820"/>
    <w:rsid w:val="00602E70"/>
    <w:rsid w:val="0066129E"/>
    <w:rsid w:val="006760F0"/>
    <w:rsid w:val="006B7720"/>
    <w:rsid w:val="006D7C7F"/>
    <w:rsid w:val="006E305E"/>
    <w:rsid w:val="00707254"/>
    <w:rsid w:val="00766173"/>
    <w:rsid w:val="007802B1"/>
    <w:rsid w:val="007A1103"/>
    <w:rsid w:val="007C132B"/>
    <w:rsid w:val="0089433F"/>
    <w:rsid w:val="008E636B"/>
    <w:rsid w:val="0091471F"/>
    <w:rsid w:val="00970C2F"/>
    <w:rsid w:val="0097520B"/>
    <w:rsid w:val="00A12AD1"/>
    <w:rsid w:val="00AE307A"/>
    <w:rsid w:val="00B2401C"/>
    <w:rsid w:val="00BF1C56"/>
    <w:rsid w:val="00DE5F97"/>
    <w:rsid w:val="00DE7428"/>
    <w:rsid w:val="00E46F39"/>
    <w:rsid w:val="00F9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8E463-2ABD-49C8-B84A-A52C1249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C56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F1C5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0CFC"/>
    <w:pPr>
      <w:keepNext/>
      <w:keepLines/>
      <w:spacing w:before="160" w:after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0CFC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1C56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90CFC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90CFC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43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433F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9433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9433F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661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61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6173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61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6173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17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4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00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4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00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audbesancon.psy@gmail.com" TargetMode="External"/><Relationship Id="rId2" Type="http://schemas.openxmlformats.org/officeDocument/2006/relationships/hyperlink" Target="mailto:laurine.peter@gmail.com" TargetMode="External"/><Relationship Id="rId1" Type="http://schemas.openxmlformats.org/officeDocument/2006/relationships/hyperlink" Target="mailto:niluphar.ahmadi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B5A1-4E73-4CE3-8565-19FA9840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Niluphar Ahmadi</dc:creator>
  <cp:lastModifiedBy>Niluphar Ahmadi</cp:lastModifiedBy>
  <cp:revision>3</cp:revision>
  <dcterms:created xsi:type="dcterms:W3CDTF">2017-03-01T18:20:00Z</dcterms:created>
  <dcterms:modified xsi:type="dcterms:W3CDTF">2017-03-01T18:27:00Z</dcterms:modified>
</cp:coreProperties>
</file>